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02C0E" w:rsidRDefault="001762D0">
      <w:pPr>
        <w:spacing w:after="0"/>
        <w:jc w:val="center"/>
      </w:pPr>
      <w:bookmarkStart w:id="0" w:name="_GoBack"/>
      <w:bookmarkEnd w:id="0"/>
      <w:r>
        <w:rPr>
          <w:rFonts w:ascii="Garamond" w:eastAsia="Garamond" w:hAnsi="Garamond" w:cs="Garamond"/>
          <w:b/>
        </w:rPr>
        <w:t>English II</w:t>
      </w:r>
    </w:p>
    <w:p w:rsidR="00102C0E" w:rsidRDefault="001762D0">
      <w:pPr>
        <w:spacing w:after="0"/>
      </w:pPr>
      <w:r>
        <w:rPr>
          <w:rFonts w:ascii="Garamond" w:eastAsia="Garamond" w:hAnsi="Garamond" w:cs="Garamond"/>
          <w:b/>
        </w:rPr>
        <w:t xml:space="preserve">Introduction: How’d He Do That?  Adapted and Excerpted from </w:t>
      </w:r>
      <w:r>
        <w:rPr>
          <w:rFonts w:ascii="Garamond" w:eastAsia="Garamond" w:hAnsi="Garamond" w:cs="Garamond"/>
          <w:b/>
          <w:i/>
        </w:rPr>
        <w:t xml:space="preserve">How to Read Literature </w:t>
      </w:r>
      <w:proofErr w:type="gramStart"/>
      <w:r>
        <w:rPr>
          <w:rFonts w:ascii="Garamond" w:eastAsia="Garamond" w:hAnsi="Garamond" w:cs="Garamond"/>
          <w:b/>
          <w:i/>
        </w:rPr>
        <w:t>Like</w:t>
      </w:r>
      <w:proofErr w:type="gramEnd"/>
      <w:r>
        <w:rPr>
          <w:rFonts w:ascii="Garamond" w:eastAsia="Garamond" w:hAnsi="Garamond" w:cs="Garamond"/>
          <w:b/>
          <w:i/>
        </w:rPr>
        <w:t xml:space="preserve"> a Professor</w:t>
      </w:r>
    </w:p>
    <w:p w:rsidR="00102C0E" w:rsidRDefault="001762D0">
      <w:pPr>
        <w:spacing w:after="0"/>
      </w:pPr>
      <w:r>
        <w:rPr>
          <w:rFonts w:ascii="Garamond" w:eastAsia="Garamond" w:hAnsi="Garamond" w:cs="Garamond"/>
          <w:b/>
          <w:sz w:val="20"/>
          <w:szCs w:val="20"/>
        </w:rPr>
        <w:t>By Thomas Foster</w:t>
      </w:r>
    </w:p>
    <w:p w:rsidR="00102C0E" w:rsidRDefault="001762D0">
      <w:r>
        <w:rPr>
          <w:rFonts w:ascii="Garamond" w:eastAsia="Garamond" w:hAnsi="Garamond" w:cs="Garamond"/>
        </w:rPr>
        <w:t>MR. LINDNER? THAT MILQUETOAST</w:t>
      </w:r>
      <w:r>
        <w:rPr>
          <w:rFonts w:ascii="Garamond" w:eastAsia="Garamond" w:hAnsi="Garamond" w:cs="Garamond"/>
          <w:vertAlign w:val="superscript"/>
        </w:rPr>
        <w:footnoteReference w:id="1"/>
      </w:r>
      <w:r>
        <w:rPr>
          <w:rFonts w:ascii="Garamond" w:eastAsia="Garamond" w:hAnsi="Garamond" w:cs="Garamond"/>
        </w:rPr>
        <w:t xml:space="preserve">? </w:t>
      </w:r>
    </w:p>
    <w:p w:rsidR="00102C0E" w:rsidRDefault="001762D0">
      <w:pPr>
        <w:ind w:firstLine="720"/>
      </w:pPr>
      <w:r>
        <w:rPr>
          <w:rFonts w:ascii="Garamond" w:eastAsia="Garamond" w:hAnsi="Garamond" w:cs="Garamond"/>
        </w:rPr>
        <w:t xml:space="preserve">Right. Mr. Lindner the milquetoast. So what did you think the devil would look like? If he were red with a tail, horns, and cloven hooves, any fool could say no. </w:t>
      </w:r>
    </w:p>
    <w:p w:rsidR="00102C0E" w:rsidRDefault="001762D0">
      <w:pPr>
        <w:ind w:firstLine="720"/>
      </w:pPr>
      <w:r>
        <w:rPr>
          <w:rFonts w:ascii="Garamond" w:eastAsia="Garamond" w:hAnsi="Garamond" w:cs="Garamond"/>
        </w:rPr>
        <w:t>The class and I are discussing Lorraine Hansberry’s A Raisin in the Sun (1959), one of the gr</w:t>
      </w:r>
      <w:r>
        <w:rPr>
          <w:rFonts w:ascii="Garamond" w:eastAsia="Garamond" w:hAnsi="Garamond" w:cs="Garamond"/>
        </w:rPr>
        <w:t>eat plays of the American theater. The incredulous</w:t>
      </w:r>
      <w:r>
        <w:rPr>
          <w:rFonts w:ascii="Garamond" w:eastAsia="Garamond" w:hAnsi="Garamond" w:cs="Garamond"/>
          <w:vertAlign w:val="superscript"/>
        </w:rPr>
        <w:footnoteReference w:id="2"/>
      </w:r>
      <w:r>
        <w:rPr>
          <w:rFonts w:ascii="Garamond" w:eastAsia="Garamond" w:hAnsi="Garamond" w:cs="Garamond"/>
        </w:rPr>
        <w:t xml:space="preserve"> questions have come, as they often do, in response to my innocent suggestion that Mr. Lindner is the devil. The Youngers, an African American family in Chicago, have made a down payment on a house in an a</w:t>
      </w:r>
      <w:r>
        <w:rPr>
          <w:rFonts w:ascii="Garamond" w:eastAsia="Garamond" w:hAnsi="Garamond" w:cs="Garamond"/>
        </w:rPr>
        <w:t xml:space="preserve">ll-white neighborhood. Mr. Lindner, a meekly apologetic little man, has been dispatched from the neighborhood association, check in hand, to buy out the family’s claim on the house. At first, Walter Lee Younger, the protagonist, confidently turns down the </w:t>
      </w:r>
      <w:r>
        <w:rPr>
          <w:rFonts w:ascii="Garamond" w:eastAsia="Garamond" w:hAnsi="Garamond" w:cs="Garamond"/>
        </w:rPr>
        <w:t>offer, believing that the family’s money (in the form of a life insurance payment after his father’s recent death) is secure. Shortly afterward, however, he discovers that two-thirds of that money has been stolen. All of a sudden the previously insulting o</w:t>
      </w:r>
      <w:r>
        <w:rPr>
          <w:rFonts w:ascii="Garamond" w:eastAsia="Garamond" w:hAnsi="Garamond" w:cs="Garamond"/>
        </w:rPr>
        <w:t xml:space="preserve">ffer comes to look like his financial salvation. </w:t>
      </w:r>
    </w:p>
    <w:p w:rsidR="00102C0E" w:rsidRDefault="001762D0">
      <w:pPr>
        <w:ind w:firstLine="720"/>
      </w:pPr>
      <w:r>
        <w:rPr>
          <w:rFonts w:ascii="Garamond" w:eastAsia="Garamond" w:hAnsi="Garamond" w:cs="Garamond"/>
        </w:rPr>
        <w:t>Bargains with the devil go back a long way in Western culture. In all the versions of the Faust legend, which is the dominant form of this type of story, the hero is offered something he desperately wants –</w:t>
      </w:r>
      <w:r>
        <w:rPr>
          <w:rFonts w:ascii="Garamond" w:eastAsia="Garamond" w:hAnsi="Garamond" w:cs="Garamond"/>
        </w:rPr>
        <w:t xml:space="preserve"> power or knowledge or a fastball that will beat the Yankees – and all he has to give up is his soul. This pattern holds from the Elizabethan Christopher Marlowe’s Dr. Faustus through the nineteenth-century Johann Wolfgang von Goethe’s Faust to the twentie</w:t>
      </w:r>
      <w:r>
        <w:rPr>
          <w:rFonts w:ascii="Garamond" w:eastAsia="Garamond" w:hAnsi="Garamond" w:cs="Garamond"/>
        </w:rPr>
        <w:t>th century’s Stephen Vincent Benét’s “The Devil and Daniel Webster” and Damn Yankees. In Hansberry’s version, when Mr. Lindner makes his offer, he doesn’t demand Walter Lee’s soul; in fact, he doesn’t even know that he’s demanding it. He is, though. Walter</w:t>
      </w:r>
      <w:r>
        <w:rPr>
          <w:rFonts w:ascii="Garamond" w:eastAsia="Garamond" w:hAnsi="Garamond" w:cs="Garamond"/>
        </w:rPr>
        <w:t xml:space="preserve"> Lee can be rescued from the monetary crisis he has brought upon the family; all he has to do is admit that he’s not the equal of the white residents who don’t want him moving in, that his pride and self-respect, his identity, can be bought. If that’s not </w:t>
      </w:r>
      <w:r>
        <w:rPr>
          <w:rFonts w:ascii="Garamond" w:eastAsia="Garamond" w:hAnsi="Garamond" w:cs="Garamond"/>
        </w:rPr>
        <w:t xml:space="preserve">selling your soul, then what is it? </w:t>
      </w:r>
    </w:p>
    <w:p w:rsidR="00102C0E" w:rsidRDefault="001762D0">
      <w:pPr>
        <w:ind w:firstLine="720"/>
      </w:pPr>
      <w:r>
        <w:rPr>
          <w:rFonts w:ascii="Garamond" w:eastAsia="Garamond" w:hAnsi="Garamond" w:cs="Garamond"/>
        </w:rPr>
        <w:t>The chief difference between Hansberry’s version of the Faustian bargain and others is that Walter Lee ultimately resists the satanic temptation. Previous versions have been either tragic or comic depending on whether t</w:t>
      </w:r>
      <w:r>
        <w:rPr>
          <w:rFonts w:ascii="Garamond" w:eastAsia="Garamond" w:hAnsi="Garamond" w:cs="Garamond"/>
        </w:rPr>
        <w:t xml:space="preserve">he devil successfully collects the soul at the end of the work. Here, the protagonist psychologically makes the deal but then looks at himself and at the true cost and recovers in time to reject the devil’s – Mr. Lindner’s – offer. The resulting play, for </w:t>
      </w:r>
      <w:r>
        <w:rPr>
          <w:rFonts w:ascii="Garamond" w:eastAsia="Garamond" w:hAnsi="Garamond" w:cs="Garamond"/>
        </w:rPr>
        <w:t xml:space="preserve">all its tears and anguish, is structurally comic – the tragic downfall threatened but avoided – and Walter Lee grows to heroic stature in wrestling with his own demons as well as the external one, Lindner, and coming through without falling. </w:t>
      </w:r>
    </w:p>
    <w:p w:rsidR="00102C0E" w:rsidRDefault="001762D0">
      <w:pPr>
        <w:ind w:firstLine="720"/>
      </w:pPr>
      <w:r>
        <w:rPr>
          <w:rFonts w:ascii="Garamond" w:eastAsia="Garamond" w:hAnsi="Garamond" w:cs="Garamond"/>
        </w:rPr>
        <w:t>A moment occu</w:t>
      </w:r>
      <w:r>
        <w:rPr>
          <w:rFonts w:ascii="Garamond" w:eastAsia="Garamond" w:hAnsi="Garamond" w:cs="Garamond"/>
        </w:rPr>
        <w:t>rs in this exchange between professor and student when each of us adopts a look. My look says, “What, you don’t get it?” Theirs says, “We don’t get it. And we think you’re making it up.” We’re having a communication problem. Basically, we’ve all read the s</w:t>
      </w:r>
      <w:r>
        <w:rPr>
          <w:rFonts w:ascii="Garamond" w:eastAsia="Garamond" w:hAnsi="Garamond" w:cs="Garamond"/>
        </w:rPr>
        <w:t>ame story, but we haven’t used the same analytical apparatus</w:t>
      </w:r>
      <w:r>
        <w:rPr>
          <w:rFonts w:ascii="Garamond" w:eastAsia="Garamond" w:hAnsi="Garamond" w:cs="Garamond"/>
          <w:vertAlign w:val="superscript"/>
        </w:rPr>
        <w:footnoteReference w:id="3"/>
      </w:r>
      <w:r>
        <w:rPr>
          <w:rFonts w:ascii="Garamond" w:eastAsia="Garamond" w:hAnsi="Garamond" w:cs="Garamond"/>
        </w:rPr>
        <w:t>. If you’ve ever spent time in a literature classroom as a student or a professor, you know this moment. It may seem at times as if the professor is either inventing interpretations out of thin a</w:t>
      </w:r>
      <w:r>
        <w:rPr>
          <w:rFonts w:ascii="Garamond" w:eastAsia="Garamond" w:hAnsi="Garamond" w:cs="Garamond"/>
        </w:rPr>
        <w:t xml:space="preserve">ir or else performing parlor tricks, a sort of analytical sleight of hand. </w:t>
      </w:r>
    </w:p>
    <w:p w:rsidR="00102C0E" w:rsidRDefault="001762D0">
      <w:pPr>
        <w:ind w:firstLine="720"/>
      </w:pPr>
      <w:r>
        <w:rPr>
          <w:rFonts w:ascii="Garamond" w:eastAsia="Garamond" w:hAnsi="Garamond" w:cs="Garamond"/>
        </w:rPr>
        <w:t>Actually, neither of these is the case; rather, the professor, as the slightly more experienced reader, has acquired over the years the use of a certain “language of reading,” some</w:t>
      </w:r>
      <w:r>
        <w:rPr>
          <w:rFonts w:ascii="Garamond" w:eastAsia="Garamond" w:hAnsi="Garamond" w:cs="Garamond"/>
        </w:rPr>
        <w:t xml:space="preserve">thing to which the students are only beginning to be introduced. What I’m talking about is a grammar of literature, a set of conventions and patterns, codes and rules, that we learn to employ </w:t>
      </w:r>
      <w:proofErr w:type="gramStart"/>
      <w:r>
        <w:rPr>
          <w:rFonts w:ascii="Garamond" w:eastAsia="Garamond" w:hAnsi="Garamond" w:cs="Garamond"/>
        </w:rPr>
        <w:t>in</w:t>
      </w:r>
      <w:proofErr w:type="gramEnd"/>
      <w:r>
        <w:rPr>
          <w:rFonts w:ascii="Garamond" w:eastAsia="Garamond" w:hAnsi="Garamond" w:cs="Garamond"/>
        </w:rPr>
        <w:t xml:space="preserve"> dealing with a piece of writing. Every language has a grammar</w:t>
      </w:r>
      <w:r>
        <w:rPr>
          <w:rFonts w:ascii="Garamond" w:eastAsia="Garamond" w:hAnsi="Garamond" w:cs="Garamond"/>
        </w:rPr>
        <w:t>, a set of rules that govern usage and meaning, and literary language is no different. ….</w:t>
      </w:r>
    </w:p>
    <w:p w:rsidR="00102C0E" w:rsidRDefault="001762D0">
      <w:pPr>
        <w:ind w:firstLine="720"/>
      </w:pPr>
      <w:r>
        <w:rPr>
          <w:rFonts w:ascii="Garamond" w:eastAsia="Garamond" w:hAnsi="Garamond" w:cs="Garamond"/>
        </w:rPr>
        <w:t xml:space="preserve">…...Stories and novels have a very large set of conventions: types of characters, plot rhythms, chapter structures, </w:t>
      </w:r>
      <w:proofErr w:type="gramStart"/>
      <w:r>
        <w:rPr>
          <w:rFonts w:ascii="Garamond" w:eastAsia="Garamond" w:hAnsi="Garamond" w:cs="Garamond"/>
        </w:rPr>
        <w:t>point</w:t>
      </w:r>
      <w:proofErr w:type="gramEnd"/>
      <w:r>
        <w:rPr>
          <w:rFonts w:ascii="Garamond" w:eastAsia="Garamond" w:hAnsi="Garamond" w:cs="Garamond"/>
        </w:rPr>
        <w:t>-of-view limitations. Poems have a great many</w:t>
      </w:r>
      <w:r>
        <w:rPr>
          <w:rFonts w:ascii="Garamond" w:eastAsia="Garamond" w:hAnsi="Garamond" w:cs="Garamond"/>
        </w:rPr>
        <w:t xml:space="preserve"> of their own, involving form, structure, rhythm, rhyme. Plays, too. And then there are conventions that cross genre lines. Spring is largely universal. So is snow. So is darkness. And sleep. When spring is mentioned in a story, a poem, or a play, a verita</w:t>
      </w:r>
      <w:r>
        <w:rPr>
          <w:rFonts w:ascii="Garamond" w:eastAsia="Garamond" w:hAnsi="Garamond" w:cs="Garamond"/>
        </w:rPr>
        <w:t>ble constellation of associations rises in our imaginative sky: youth, promise, new life, young lambs, children skipping...on and on. And if we associate even further, that constellation may lead us to more abstract concepts such as rebirth, fertility, ren</w:t>
      </w:r>
      <w:r>
        <w:rPr>
          <w:rFonts w:ascii="Garamond" w:eastAsia="Garamond" w:hAnsi="Garamond" w:cs="Garamond"/>
        </w:rPr>
        <w:t xml:space="preserve">ewal. </w:t>
      </w:r>
    </w:p>
    <w:p w:rsidR="00102C0E" w:rsidRDefault="001762D0">
      <w:pPr>
        <w:ind w:firstLine="720"/>
      </w:pPr>
      <w:r>
        <w:rPr>
          <w:rFonts w:ascii="Garamond" w:eastAsia="Garamond" w:hAnsi="Garamond" w:cs="Garamond"/>
          <w:i/>
        </w:rPr>
        <w:lastRenderedPageBreak/>
        <w:t xml:space="preserve">Okay, let’s say you’re right and there is a set of conventions, a key to reading literature. How do I get so I can recognize these? </w:t>
      </w:r>
    </w:p>
    <w:p w:rsidR="00102C0E" w:rsidRDefault="001762D0">
      <w:pPr>
        <w:ind w:firstLine="720"/>
      </w:pPr>
      <w:r>
        <w:rPr>
          <w:rFonts w:ascii="Garamond" w:eastAsia="Garamond" w:hAnsi="Garamond" w:cs="Garamond"/>
        </w:rPr>
        <w:t xml:space="preserve">Same way you get to Carnegie Hall. Practice. </w:t>
      </w:r>
    </w:p>
    <w:p w:rsidR="00102C0E" w:rsidRDefault="001762D0">
      <w:pPr>
        <w:ind w:firstLine="720"/>
      </w:pPr>
      <w:r>
        <w:rPr>
          <w:rFonts w:ascii="Garamond" w:eastAsia="Garamond" w:hAnsi="Garamond" w:cs="Garamond"/>
        </w:rPr>
        <w:t>When lay</w:t>
      </w:r>
      <w:r>
        <w:rPr>
          <w:rFonts w:ascii="Garamond" w:eastAsia="Garamond" w:hAnsi="Garamond" w:cs="Garamond"/>
          <w:vertAlign w:val="superscript"/>
        </w:rPr>
        <w:footnoteReference w:id="4"/>
      </w:r>
      <w:r>
        <w:rPr>
          <w:rFonts w:ascii="Garamond" w:eastAsia="Garamond" w:hAnsi="Garamond" w:cs="Garamond"/>
        </w:rPr>
        <w:t xml:space="preserve"> readers encounter a fictive text, they focus, as they should</w:t>
      </w:r>
      <w:r>
        <w:rPr>
          <w:rFonts w:ascii="Garamond" w:eastAsia="Garamond" w:hAnsi="Garamond" w:cs="Garamond"/>
        </w:rPr>
        <w:t>, on the story and the characters: who are these people, what are they doing, and what wonderful or terrible things are happening to them? Such readers respond first of all, and sometimes only, to their reading on an emotional level; the work affects them,</w:t>
      </w:r>
      <w:r>
        <w:rPr>
          <w:rFonts w:ascii="Garamond" w:eastAsia="Garamond" w:hAnsi="Garamond" w:cs="Garamond"/>
        </w:rPr>
        <w:t xml:space="preserve"> producing joy or revulsion, laughter or tears, anxiety or elation… When an English professor reads, on the other hand, he will accept the affective response level of the story (we don’t mind a good cry when Little Nell dies), but a lot of his attention wi</w:t>
      </w:r>
      <w:r>
        <w:rPr>
          <w:rFonts w:ascii="Garamond" w:eastAsia="Garamond" w:hAnsi="Garamond" w:cs="Garamond"/>
        </w:rPr>
        <w:t>ll be engaged by other elements of the novel. Where did that effect come from? Whom does this character resemble? Where have I seen this situation before? Didn’t Dante (or Chaucer, or Merle Haggard) say that? If you learn to ask these questions, to see lit</w:t>
      </w:r>
      <w:r>
        <w:rPr>
          <w:rFonts w:ascii="Garamond" w:eastAsia="Garamond" w:hAnsi="Garamond" w:cs="Garamond"/>
        </w:rPr>
        <w:t xml:space="preserve">erary texts through these glasses, you will read and understand literature in a new light, and it’ll become more rewarding and fun. </w:t>
      </w:r>
    </w:p>
    <w:p w:rsidR="00102C0E" w:rsidRDefault="001762D0">
      <w:pPr>
        <w:ind w:firstLine="720"/>
      </w:pPr>
      <w:r>
        <w:rPr>
          <w:rFonts w:ascii="Garamond" w:eastAsia="Garamond" w:hAnsi="Garamond" w:cs="Garamond"/>
        </w:rPr>
        <w:t>Memory. Symbol. Pattern. These are the three items that, more than any other, separate the professorial reader from the res</w:t>
      </w:r>
      <w:r>
        <w:rPr>
          <w:rFonts w:ascii="Garamond" w:eastAsia="Garamond" w:hAnsi="Garamond" w:cs="Garamond"/>
        </w:rPr>
        <w:t>t of the crowd. English professors, as a class, are cursed with memory. Whenever I read a new work, I spin the mental Rolodex</w:t>
      </w:r>
      <w:r>
        <w:rPr>
          <w:rFonts w:ascii="Garamond" w:eastAsia="Garamond" w:hAnsi="Garamond" w:cs="Garamond"/>
          <w:vertAlign w:val="superscript"/>
        </w:rPr>
        <w:footnoteReference w:id="5"/>
      </w:r>
      <w:r>
        <w:rPr>
          <w:rFonts w:ascii="Garamond" w:eastAsia="Garamond" w:hAnsi="Garamond" w:cs="Garamond"/>
        </w:rPr>
        <w:t xml:space="preserve"> looking for correspondences and corollaries</w:t>
      </w:r>
      <w:r>
        <w:rPr>
          <w:rFonts w:ascii="Garamond" w:eastAsia="Garamond" w:hAnsi="Garamond" w:cs="Garamond"/>
          <w:vertAlign w:val="superscript"/>
        </w:rPr>
        <w:footnoteReference w:id="6"/>
      </w:r>
      <w:r>
        <w:rPr>
          <w:rFonts w:ascii="Garamond" w:eastAsia="Garamond" w:hAnsi="Garamond" w:cs="Garamond"/>
        </w:rPr>
        <w:t xml:space="preserve"> – where have I seen his face, don’t I know that theme? I can’t not do it, although t</w:t>
      </w:r>
      <w:r>
        <w:rPr>
          <w:rFonts w:ascii="Garamond" w:eastAsia="Garamond" w:hAnsi="Garamond" w:cs="Garamond"/>
        </w:rPr>
        <w:t>here are plenty of times when that ability is not something I want to exercise...</w:t>
      </w:r>
    </w:p>
    <w:p w:rsidR="00102C0E" w:rsidRDefault="001762D0">
      <w:pPr>
        <w:ind w:firstLine="720"/>
      </w:pPr>
      <w:r>
        <w:rPr>
          <w:rFonts w:ascii="Garamond" w:eastAsia="Garamond" w:hAnsi="Garamond" w:cs="Garamond"/>
        </w:rPr>
        <w:t>Professors also read, and think, symbolically. Everything is a symbol of something, it seems, until proven otherwise. We ask, Is this a metaphor? Is that an analogy? What doe</w:t>
      </w:r>
      <w:r>
        <w:rPr>
          <w:rFonts w:ascii="Garamond" w:eastAsia="Garamond" w:hAnsi="Garamond" w:cs="Garamond"/>
        </w:rPr>
        <w:t xml:space="preserve">s the thing over there signify? The kind of mind that works its way through undergraduate and then graduate classes in literature and criticism has a predisposition </w:t>
      </w:r>
      <w:r>
        <w:rPr>
          <w:rFonts w:ascii="Garamond" w:eastAsia="Garamond" w:hAnsi="Garamond" w:cs="Garamond"/>
          <w:vertAlign w:val="superscript"/>
        </w:rPr>
        <w:footnoteReference w:id="7"/>
      </w:r>
      <w:r>
        <w:rPr>
          <w:rFonts w:ascii="Garamond" w:eastAsia="Garamond" w:hAnsi="Garamond" w:cs="Garamond"/>
        </w:rPr>
        <w:t>to see things as existing in themselves while simultaneously also representing something e</w:t>
      </w:r>
      <w:r>
        <w:rPr>
          <w:rFonts w:ascii="Garamond" w:eastAsia="Garamond" w:hAnsi="Garamond" w:cs="Garamond"/>
        </w:rPr>
        <w:t xml:space="preserve">lse. Grendel, the monster in the medieval epic Beowulf (eighth century A.D.), is an actual monster, but he can also </w:t>
      </w:r>
      <w:proofErr w:type="gramStart"/>
      <w:r>
        <w:rPr>
          <w:rFonts w:ascii="Garamond" w:eastAsia="Garamond" w:hAnsi="Garamond" w:cs="Garamond"/>
        </w:rPr>
        <w:t>symbolize(</w:t>
      </w:r>
      <w:proofErr w:type="gramEnd"/>
      <w:r>
        <w:rPr>
          <w:rFonts w:ascii="Garamond" w:eastAsia="Garamond" w:hAnsi="Garamond" w:cs="Garamond"/>
        </w:rPr>
        <w:t>a) the hostility of the universe to human existence (a hostility that medieval Anglo-Saxons would have felt acutely) and (b) a dar</w:t>
      </w:r>
      <w:r>
        <w:rPr>
          <w:rFonts w:ascii="Garamond" w:eastAsia="Garamond" w:hAnsi="Garamond" w:cs="Garamond"/>
        </w:rPr>
        <w:t>kness in human nature that only some higher aspect of ourselves (as symbolized by the title hero) can conquer. This predisposition to understand the world in symbolic terms is reinforced, of course, by years of training that encourages and rewards the symb</w:t>
      </w:r>
      <w:r>
        <w:rPr>
          <w:rFonts w:ascii="Garamond" w:eastAsia="Garamond" w:hAnsi="Garamond" w:cs="Garamond"/>
        </w:rPr>
        <w:t xml:space="preserve">olic imagination. </w:t>
      </w:r>
    </w:p>
    <w:p w:rsidR="00102C0E" w:rsidRDefault="001762D0">
      <w:pPr>
        <w:ind w:firstLine="720"/>
      </w:pPr>
      <w:r>
        <w:rPr>
          <w:rFonts w:ascii="Garamond" w:eastAsia="Garamond" w:hAnsi="Garamond" w:cs="Garamond"/>
        </w:rPr>
        <w:t>A related phenomenon in professorial reading is pattern recognition. Most professional students of literature learn to take in the foreground detail while seeing the patterns that the detail reveals. Like the symbolic imagination, this i</w:t>
      </w:r>
      <w:r>
        <w:rPr>
          <w:rFonts w:ascii="Garamond" w:eastAsia="Garamond" w:hAnsi="Garamond" w:cs="Garamond"/>
        </w:rPr>
        <w:t>s a function of being able to distance oneself from the story, to look beyond the purely affective level of plot, drama, characters. Experience has proved to them that life and books fall into similar patterns. Nor is this skill exclusive to English profes</w:t>
      </w:r>
      <w:r>
        <w:rPr>
          <w:rFonts w:ascii="Garamond" w:eastAsia="Garamond" w:hAnsi="Garamond" w:cs="Garamond"/>
        </w:rPr>
        <w:t>sors. Good mechanics, the kind who used to fix cars before computerized diagnostics, use pattern recognition to diagnose engine troubles: if this and this are happening, then check that. Literature is full of patterns, and your reading experience will be m</w:t>
      </w:r>
      <w:r>
        <w:rPr>
          <w:rFonts w:ascii="Garamond" w:eastAsia="Garamond" w:hAnsi="Garamond" w:cs="Garamond"/>
        </w:rPr>
        <w:t>uch more rewarding when you can step back from the work, even while you’re reading it, and look for those patterns. When small children, very small children, begin to tell you a story, they put in every detail and every word they recall, with no sense that</w:t>
      </w:r>
      <w:r>
        <w:rPr>
          <w:rFonts w:ascii="Garamond" w:eastAsia="Garamond" w:hAnsi="Garamond" w:cs="Garamond"/>
        </w:rPr>
        <w:t xml:space="preserve"> some features are more important than others. As they grow, they begin to display a greater sense of the plots of their stories – what elements actually add to the significance and which do not. So too with readers. Beginning students are often swamped wi</w:t>
      </w:r>
      <w:r>
        <w:rPr>
          <w:rFonts w:ascii="Garamond" w:eastAsia="Garamond" w:hAnsi="Garamond" w:cs="Garamond"/>
        </w:rPr>
        <w:t xml:space="preserve">th the mass of detail...Wily veterans, on the other hand, will absorb those details, or possibly overlook them, to find the patterns, the routines, the archetypes at work in the background.... </w:t>
      </w:r>
    </w:p>
    <w:p w:rsidR="00102C0E" w:rsidRDefault="001762D0">
      <w:pPr>
        <w:ind w:firstLine="720"/>
      </w:pPr>
      <w:r>
        <w:rPr>
          <w:rFonts w:ascii="Garamond" w:eastAsia="Garamond" w:hAnsi="Garamond" w:cs="Garamond"/>
        </w:rPr>
        <w:t>What I hope to do, in the coming pages, is what I do in class:</w:t>
      </w:r>
      <w:r>
        <w:rPr>
          <w:rFonts w:ascii="Garamond" w:eastAsia="Garamond" w:hAnsi="Garamond" w:cs="Garamond"/>
        </w:rPr>
        <w:t xml:space="preserve"> give readers a view of what goes on when professional students of literature do their thing, a broad introduction to the codes and patterns that inform our readings. I want my students not only to agree with me that, indeed, Mr. Lindner is an instance of </w:t>
      </w:r>
      <w:r>
        <w:rPr>
          <w:rFonts w:ascii="Garamond" w:eastAsia="Garamond" w:hAnsi="Garamond" w:cs="Garamond"/>
        </w:rPr>
        <w:t>the demonic tempter offering Walter Lee Younger a Faustian bargain; I want them to be able to reach that conclusion without me. I know they can, with practice, patience, and a bit of instruction. And so can you.</w:t>
      </w:r>
    </w:p>
    <w:sectPr w:rsidR="00102C0E">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62D0">
      <w:pPr>
        <w:spacing w:after="0" w:line="240" w:lineRule="auto"/>
      </w:pPr>
      <w:r>
        <w:separator/>
      </w:r>
    </w:p>
  </w:endnote>
  <w:endnote w:type="continuationSeparator" w:id="0">
    <w:p w:rsidR="00000000" w:rsidRDefault="00176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62D0">
      <w:pPr>
        <w:spacing w:after="0" w:line="240" w:lineRule="auto"/>
      </w:pPr>
      <w:r>
        <w:separator/>
      </w:r>
    </w:p>
  </w:footnote>
  <w:footnote w:type="continuationSeparator" w:id="0">
    <w:p w:rsidR="00000000" w:rsidRDefault="001762D0">
      <w:pPr>
        <w:spacing w:after="0" w:line="240" w:lineRule="auto"/>
      </w:pPr>
      <w:r>
        <w:continuationSeparator/>
      </w:r>
    </w:p>
  </w:footnote>
  <w:footnote w:id="1">
    <w:p w:rsidR="00102C0E" w:rsidRDefault="001762D0">
      <w:pPr>
        <w:spacing w:after="0" w:line="240" w:lineRule="auto"/>
      </w:pPr>
      <w:r>
        <w:rPr>
          <w:vertAlign w:val="superscript"/>
        </w:rPr>
        <w:footnoteRef/>
      </w:r>
      <w:r>
        <w:rPr>
          <w:rFonts w:ascii="Garamond" w:eastAsia="Garamond" w:hAnsi="Garamond" w:cs="Garamond"/>
          <w:sz w:val="20"/>
          <w:szCs w:val="20"/>
        </w:rPr>
        <w:t xml:space="preserve"> </w:t>
      </w:r>
      <w:r>
        <w:rPr>
          <w:rFonts w:ascii="Garamond" w:eastAsia="Garamond" w:hAnsi="Garamond" w:cs="Garamond"/>
          <w:sz w:val="23"/>
          <w:szCs w:val="23"/>
          <w:highlight w:val="white"/>
        </w:rPr>
        <w:t>a very timid, unassertive, spineless perso</w:t>
      </w:r>
      <w:r>
        <w:rPr>
          <w:rFonts w:ascii="Garamond" w:eastAsia="Garamond" w:hAnsi="Garamond" w:cs="Garamond"/>
          <w:sz w:val="23"/>
          <w:szCs w:val="23"/>
          <w:highlight w:val="white"/>
        </w:rPr>
        <w:t>n, especially one who is easily dominated or intimidat</w:t>
      </w:r>
      <w:r>
        <w:rPr>
          <w:rFonts w:ascii="Garamond" w:eastAsia="Garamond" w:hAnsi="Garamond" w:cs="Garamond"/>
          <w:color w:val="3D7BBF"/>
          <w:sz w:val="23"/>
          <w:szCs w:val="23"/>
          <w:highlight w:val="white"/>
        </w:rPr>
        <w:t>ed:</w:t>
      </w:r>
    </w:p>
  </w:footnote>
  <w:footnote w:id="2">
    <w:p w:rsidR="00102C0E" w:rsidRDefault="001762D0">
      <w:pPr>
        <w:spacing w:after="0" w:line="240" w:lineRule="auto"/>
      </w:pPr>
      <w:r>
        <w:rPr>
          <w:vertAlign w:val="superscript"/>
        </w:rPr>
        <w:footnoteRef/>
      </w:r>
      <w:r>
        <w:rPr>
          <w:rFonts w:ascii="Garamond" w:eastAsia="Garamond" w:hAnsi="Garamond" w:cs="Garamond"/>
          <w:sz w:val="20"/>
          <w:szCs w:val="20"/>
        </w:rPr>
        <w:t xml:space="preserve"> </w:t>
      </w:r>
      <w:r>
        <w:rPr>
          <w:rFonts w:ascii="Garamond" w:eastAsia="Garamond" w:hAnsi="Garamond" w:cs="Garamond"/>
          <w:sz w:val="23"/>
          <w:szCs w:val="23"/>
          <w:highlight w:val="white"/>
        </w:rPr>
        <w:t>s</w:t>
      </w:r>
      <w:r>
        <w:rPr>
          <w:rFonts w:ascii="Garamond" w:eastAsia="Garamond" w:hAnsi="Garamond" w:cs="Garamond"/>
          <w:sz w:val="20"/>
          <w:szCs w:val="20"/>
          <w:highlight w:val="white"/>
        </w:rPr>
        <w:t>keptical; indicating or showing unbelief</w:t>
      </w:r>
      <w:r>
        <w:rPr>
          <w:rFonts w:ascii="Garamond" w:eastAsia="Garamond" w:hAnsi="Garamond" w:cs="Garamond"/>
          <w:color w:val="666666"/>
          <w:sz w:val="20"/>
          <w:szCs w:val="20"/>
          <w:highlight w:val="white"/>
        </w:rPr>
        <w:t>:</w:t>
      </w:r>
    </w:p>
  </w:footnote>
  <w:footnote w:id="3">
    <w:p w:rsidR="00102C0E" w:rsidRDefault="001762D0">
      <w:pPr>
        <w:spacing w:after="0" w:line="240" w:lineRule="auto"/>
      </w:pPr>
      <w:r>
        <w:rPr>
          <w:vertAlign w:val="superscript"/>
        </w:rPr>
        <w:footnoteRef/>
      </w:r>
      <w:r>
        <w:rPr>
          <w:rFonts w:ascii="Garamond" w:eastAsia="Garamond" w:hAnsi="Garamond" w:cs="Garamond"/>
          <w:sz w:val="20"/>
          <w:szCs w:val="20"/>
        </w:rPr>
        <w:t xml:space="preserve"> tools</w:t>
      </w:r>
    </w:p>
  </w:footnote>
  <w:footnote w:id="4">
    <w:p w:rsidR="00102C0E" w:rsidRDefault="001762D0">
      <w:pPr>
        <w:spacing w:after="0" w:line="240" w:lineRule="auto"/>
      </w:pPr>
      <w:r>
        <w:rPr>
          <w:vertAlign w:val="superscript"/>
        </w:rPr>
        <w:footnoteRef/>
      </w:r>
      <w:r>
        <w:rPr>
          <w:rFonts w:ascii="Garamond" w:eastAsia="Garamond" w:hAnsi="Garamond" w:cs="Garamond"/>
          <w:sz w:val="20"/>
          <w:szCs w:val="20"/>
        </w:rPr>
        <w:t xml:space="preserve"> A person who is not part of a group</w:t>
      </w:r>
    </w:p>
  </w:footnote>
  <w:footnote w:id="5">
    <w:p w:rsidR="00102C0E" w:rsidRDefault="001762D0">
      <w:pPr>
        <w:spacing w:after="0" w:line="240" w:lineRule="auto"/>
      </w:pPr>
      <w:r>
        <w:rPr>
          <w:vertAlign w:val="superscript"/>
        </w:rPr>
        <w:footnoteRef/>
      </w:r>
      <w:r>
        <w:rPr>
          <w:rFonts w:ascii="Garamond" w:eastAsia="Garamond" w:hAnsi="Garamond" w:cs="Garamond"/>
          <w:sz w:val="20"/>
          <w:szCs w:val="20"/>
        </w:rPr>
        <w:t xml:space="preserve"> </w:t>
      </w:r>
      <w:proofErr w:type="gramStart"/>
      <w:r>
        <w:rPr>
          <w:rFonts w:ascii="Garamond" w:eastAsia="Garamond" w:hAnsi="Garamond" w:cs="Garamond"/>
          <w:sz w:val="20"/>
          <w:szCs w:val="20"/>
          <w:highlight w:val="white"/>
        </w:rPr>
        <w:t>a</w:t>
      </w:r>
      <w:proofErr w:type="gramEnd"/>
      <w:r>
        <w:rPr>
          <w:rFonts w:ascii="Garamond" w:eastAsia="Garamond" w:hAnsi="Garamond" w:cs="Garamond"/>
          <w:sz w:val="20"/>
          <w:szCs w:val="20"/>
          <w:highlight w:val="white"/>
        </w:rPr>
        <w:t xml:space="preserve"> small desktop file containing cards for names, addresses, and phone numbers.</w:t>
      </w:r>
    </w:p>
  </w:footnote>
  <w:footnote w:id="6">
    <w:p w:rsidR="00102C0E" w:rsidRDefault="001762D0">
      <w:pPr>
        <w:spacing w:after="0" w:line="240" w:lineRule="auto"/>
      </w:pPr>
      <w:r>
        <w:rPr>
          <w:vertAlign w:val="superscript"/>
        </w:rPr>
        <w:footnoteRef/>
      </w:r>
      <w:r>
        <w:rPr>
          <w:sz w:val="20"/>
          <w:szCs w:val="20"/>
        </w:rPr>
        <w:t xml:space="preserve"> </w:t>
      </w:r>
      <w:r>
        <w:rPr>
          <w:rFonts w:ascii="Garamond" w:eastAsia="Garamond" w:hAnsi="Garamond" w:cs="Garamond"/>
          <w:sz w:val="20"/>
          <w:szCs w:val="20"/>
        </w:rPr>
        <w:t>Natural conclusion or result.</w:t>
      </w:r>
    </w:p>
  </w:footnote>
  <w:footnote w:id="7">
    <w:p w:rsidR="00102C0E" w:rsidRDefault="001762D0">
      <w:pPr>
        <w:spacing w:after="0" w:line="240" w:lineRule="auto"/>
      </w:pPr>
      <w:r>
        <w:rPr>
          <w:vertAlign w:val="superscript"/>
        </w:rPr>
        <w:footnoteRef/>
      </w:r>
      <w:r>
        <w:rPr>
          <w:rFonts w:ascii="Garamond" w:eastAsia="Garamond" w:hAnsi="Garamond" w:cs="Garamond"/>
          <w:sz w:val="20"/>
          <w:szCs w:val="20"/>
        </w:rPr>
        <w:t xml:space="preserve"> Tendency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C0E"/>
    <w:rsid w:val="00102C0E"/>
    <w:rsid w:val="0017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73538-3315-4E28-985F-78C697B1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1392</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2017-01-26T12:04:00Z</dcterms:created>
  <dcterms:modified xsi:type="dcterms:W3CDTF">2017-01-26T12:04:00Z</dcterms:modified>
</cp:coreProperties>
</file>